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31" w:rsidRPr="00EB407D" w:rsidRDefault="00B1790D" w:rsidP="00D9463C">
      <w:pPr>
        <w:spacing w:after="0"/>
        <w:jc w:val="center"/>
        <w:rPr>
          <w:b/>
          <w:bCs/>
          <w:sz w:val="40"/>
          <w:szCs w:val="28"/>
        </w:rPr>
      </w:pPr>
      <w:r w:rsidRPr="00EB407D">
        <w:rPr>
          <w:b/>
          <w:bCs/>
          <w:sz w:val="40"/>
          <w:szCs w:val="28"/>
        </w:rPr>
        <w:t xml:space="preserve">Educator Preparation Program Admission Criteria for Teacher Candidates </w:t>
      </w:r>
    </w:p>
    <w:p w:rsidR="0064140B" w:rsidRDefault="00B1790D" w:rsidP="00D9463C">
      <w:pPr>
        <w:spacing w:after="0"/>
        <w:jc w:val="center"/>
        <w:rPr>
          <w:b/>
          <w:bCs/>
          <w:sz w:val="32"/>
          <w:szCs w:val="32"/>
        </w:rPr>
      </w:pPr>
      <w:r w:rsidRPr="00EB407D">
        <w:rPr>
          <w:b/>
          <w:bCs/>
          <w:sz w:val="40"/>
          <w:szCs w:val="28"/>
        </w:rPr>
        <w:t xml:space="preserve">Applying </w:t>
      </w:r>
      <w:proofErr w:type="gramStart"/>
      <w:r w:rsidRPr="00EB407D">
        <w:rPr>
          <w:b/>
          <w:bCs/>
          <w:sz w:val="40"/>
          <w:szCs w:val="28"/>
        </w:rPr>
        <w:t>Spring</w:t>
      </w:r>
      <w:proofErr w:type="gramEnd"/>
      <w:r w:rsidRPr="00EB407D">
        <w:rPr>
          <w:b/>
          <w:bCs/>
          <w:sz w:val="40"/>
          <w:szCs w:val="28"/>
        </w:rPr>
        <w:t xml:space="preserve"> 2</w:t>
      </w:r>
      <w:r w:rsidRPr="00EB407D">
        <w:rPr>
          <w:b/>
          <w:bCs/>
          <w:sz w:val="40"/>
          <w:szCs w:val="32"/>
        </w:rPr>
        <w:t>008</w:t>
      </w:r>
      <w:r w:rsidR="00EE0D8A">
        <w:rPr>
          <w:b/>
          <w:bCs/>
          <w:sz w:val="40"/>
          <w:szCs w:val="32"/>
        </w:rPr>
        <w:t xml:space="preserve"> </w:t>
      </w:r>
      <w:r w:rsidR="00EE0D8A" w:rsidRPr="00EE0D8A">
        <w:rPr>
          <w:b/>
          <w:bCs/>
          <w:sz w:val="32"/>
          <w:szCs w:val="32"/>
        </w:rPr>
        <w:t>(or later)</w:t>
      </w:r>
    </w:p>
    <w:p w:rsidR="0064140B" w:rsidRDefault="0064140B" w:rsidP="00A633BB">
      <w:pPr>
        <w:spacing w:after="0"/>
      </w:pPr>
    </w:p>
    <w:tbl>
      <w:tblPr>
        <w:tblpPr w:leftFromText="180" w:rightFromText="180" w:vertAnchor="text" w:tblpX="-216" w:tblpY="-19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54"/>
        <w:gridCol w:w="2160"/>
        <w:gridCol w:w="2700"/>
        <w:gridCol w:w="7506"/>
      </w:tblGrid>
      <w:tr w:rsidR="0064140B" w:rsidRPr="000A476C" w:rsidTr="00F02840">
        <w:trPr>
          <w:trHeight w:val="1048"/>
        </w:trPr>
        <w:tc>
          <w:tcPr>
            <w:tcW w:w="15120" w:type="dxa"/>
            <w:gridSpan w:val="4"/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40B" w:rsidRPr="007116C2" w:rsidRDefault="0064140B" w:rsidP="007116C2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  <w:kern w:val="24"/>
                <w:sz w:val="18"/>
                <w:szCs w:val="20"/>
              </w:rPr>
            </w:pPr>
            <w:r w:rsidRPr="007116C2">
              <w:rPr>
                <w:rFonts w:ascii="Arial" w:hAnsi="Arial" w:cs="Arial"/>
                <w:b/>
                <w:bCs/>
                <w:color w:val="000000"/>
                <w:kern w:val="24"/>
                <w:sz w:val="32"/>
                <w:szCs w:val="28"/>
              </w:rPr>
              <w:t>College Performance</w:t>
            </w:r>
            <w:r w:rsidRPr="007116C2">
              <w:rPr>
                <w:rFonts w:ascii="Arial" w:hAnsi="Arial" w:cs="Arial"/>
                <w:color w:val="000000"/>
                <w:kern w:val="24"/>
                <w:sz w:val="28"/>
              </w:rPr>
              <w:t xml:space="preserve">  </w:t>
            </w:r>
            <w:r w:rsidRPr="007116C2">
              <w:rPr>
                <w:rFonts w:ascii="Arial" w:hAnsi="Arial" w:cs="Arial"/>
                <w:color w:val="000000"/>
                <w:kern w:val="24"/>
                <w:sz w:val="22"/>
              </w:rPr>
              <w:t>(SHSU and transfer work)</w:t>
            </w:r>
            <w:r w:rsidRPr="007116C2">
              <w:rPr>
                <w:rFonts w:ascii="Arial" w:hAnsi="Arial" w:cs="Arial"/>
                <w:color w:val="000000"/>
                <w:kern w:val="24"/>
                <w:sz w:val="18"/>
                <w:szCs w:val="20"/>
              </w:rPr>
              <w:t xml:space="preserve"> </w:t>
            </w:r>
          </w:p>
          <w:p w:rsidR="007116C2" w:rsidRPr="009862AF" w:rsidRDefault="007116C2" w:rsidP="007116C2">
            <w:pPr>
              <w:pStyle w:val="ListParagraph"/>
              <w:ind w:left="108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06770" w:rsidRDefault="009862AF" w:rsidP="001A17BF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</w:pPr>
            <w:r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 xml:space="preserve"> </w:t>
            </w:r>
            <w:r w:rsidR="0064140B" w:rsidRPr="00286167"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 xml:space="preserve">Grades of “C” or above in all courses required for certification                     </w:t>
            </w:r>
            <w:r w:rsidR="00715FFF" w:rsidRPr="00EB407D">
              <w:rPr>
                <w:rFonts w:ascii="Calibri" w:hAnsi="Calibri" w:cs="Arial"/>
                <w:b/>
                <w:color w:val="000000"/>
                <w:kern w:val="24"/>
                <w:sz w:val="36"/>
                <w:szCs w:val="30"/>
              </w:rPr>
              <w:t xml:space="preserve">B. </w:t>
            </w:r>
            <w:r>
              <w:rPr>
                <w:rFonts w:ascii="Calibri" w:hAnsi="Calibri" w:cs="Arial"/>
                <w:b/>
                <w:color w:val="000000"/>
                <w:kern w:val="24"/>
                <w:sz w:val="36"/>
                <w:szCs w:val="30"/>
              </w:rPr>
              <w:t xml:space="preserve"> </w:t>
            </w:r>
            <w:r w:rsidR="0064140B" w:rsidRPr="00286167"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 xml:space="preserve">GPA </w:t>
            </w:r>
            <w:r w:rsidR="0064140B" w:rsidRPr="00286167">
              <w:rPr>
                <w:rFonts w:ascii="Calibri" w:hAnsi="Calibri" w:cs="Arial"/>
                <w:color w:val="000000"/>
                <w:kern w:val="24"/>
                <w:sz w:val="30"/>
                <w:szCs w:val="30"/>
                <w:u w:val="single"/>
              </w:rPr>
              <w:t>&gt;</w:t>
            </w:r>
            <w:r w:rsidR="0064140B" w:rsidRPr="00286167"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 xml:space="preserve"> 2.5 in teaching field   </w:t>
            </w:r>
          </w:p>
          <w:p w:rsidR="00EE0D8A" w:rsidRPr="000A476C" w:rsidRDefault="001A17BF" w:rsidP="0010677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ab/>
            </w:r>
            <w:r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ab/>
            </w:r>
            <w:r w:rsidR="00106770"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ab/>
            </w:r>
            <w:r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 xml:space="preserve"> </w:t>
            </w:r>
            <w:r w:rsidR="009862AF"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 xml:space="preserve"> </w:t>
            </w:r>
            <w:proofErr w:type="gramStart"/>
            <w:r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>and</w:t>
            </w:r>
            <w:proofErr w:type="gramEnd"/>
            <w:r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 xml:space="preserve"> </w:t>
            </w:r>
            <w:r w:rsidR="0064140B"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>in courses required in content area (teaching field)</w:t>
            </w:r>
            <w:r w:rsidR="0064140B" w:rsidRPr="0001504A">
              <w:rPr>
                <w:rFonts w:eastAsia="Times New Roman"/>
                <w:color w:val="000000"/>
                <w:kern w:val="24"/>
                <w:sz w:val="30"/>
                <w:szCs w:val="30"/>
              </w:rPr>
              <w:t xml:space="preserve">         </w:t>
            </w:r>
            <w:r w:rsidR="00497EF6" w:rsidRPr="0001504A">
              <w:rPr>
                <w:rFonts w:eastAsia="Times New Roman"/>
                <w:color w:val="000000"/>
                <w:kern w:val="24"/>
                <w:sz w:val="30"/>
                <w:szCs w:val="30"/>
              </w:rPr>
              <w:t xml:space="preserve">                 </w:t>
            </w:r>
            <w:r w:rsidR="0064140B" w:rsidRPr="0001504A">
              <w:rPr>
                <w:rFonts w:eastAsia="Times New Roman"/>
                <w:color w:val="000000"/>
                <w:kern w:val="24"/>
                <w:sz w:val="30"/>
                <w:szCs w:val="30"/>
              </w:rPr>
              <w:t xml:space="preserve"> </w:t>
            </w:r>
            <w:r w:rsidR="00715FFF" w:rsidRPr="0001504A">
              <w:rPr>
                <w:rFonts w:eastAsia="Times New Roman"/>
                <w:b/>
                <w:color w:val="000000"/>
                <w:kern w:val="24"/>
                <w:sz w:val="36"/>
                <w:szCs w:val="30"/>
              </w:rPr>
              <w:t>C.</w:t>
            </w:r>
            <w:r w:rsidR="00715FFF" w:rsidRPr="0001504A">
              <w:rPr>
                <w:rFonts w:eastAsia="Times New Roman"/>
                <w:b/>
                <w:color w:val="000000"/>
                <w:kern w:val="24"/>
                <w:sz w:val="30"/>
                <w:szCs w:val="30"/>
              </w:rPr>
              <w:t xml:space="preserve"> </w:t>
            </w:r>
            <w:r w:rsidR="009862AF" w:rsidRPr="0001504A">
              <w:rPr>
                <w:rFonts w:eastAsia="Times New Roman"/>
                <w:b/>
                <w:color w:val="000000"/>
                <w:kern w:val="24"/>
                <w:sz w:val="30"/>
                <w:szCs w:val="30"/>
              </w:rPr>
              <w:t xml:space="preserve">  </w:t>
            </w:r>
            <w:r w:rsidR="0064140B"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 xml:space="preserve">Overall GPA </w:t>
            </w:r>
            <w:r w:rsidR="0064140B"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  <w:u w:val="single"/>
              </w:rPr>
              <w:t>&gt;</w:t>
            </w:r>
            <w:r w:rsidR="0064140B" w:rsidRPr="0001504A">
              <w:rPr>
                <w:rFonts w:eastAsia="Times New Roman" w:cs="Arial"/>
                <w:color w:val="000000"/>
                <w:kern w:val="24"/>
                <w:sz w:val="30"/>
                <w:szCs w:val="30"/>
              </w:rPr>
              <w:t xml:space="preserve">  2.5</w:t>
            </w:r>
            <w:r w:rsidR="0064140B" w:rsidRPr="000A476C">
              <w:rPr>
                <w:rFonts w:ascii="Arial" w:eastAsia="Times New Roman" w:hAnsi="Arial" w:cs="Arial"/>
                <w:color w:val="000000"/>
                <w:kern w:val="24"/>
                <w:sz w:val="28"/>
                <w:szCs w:val="24"/>
              </w:rPr>
              <w:t xml:space="preserve">            </w:t>
            </w:r>
            <w:r w:rsidR="0064140B" w:rsidRPr="000A47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                                </w:t>
            </w:r>
          </w:p>
        </w:tc>
      </w:tr>
      <w:tr w:rsidR="0064140B" w:rsidRPr="000A476C" w:rsidTr="009862AF">
        <w:trPr>
          <w:trHeight w:val="1137"/>
        </w:trPr>
        <w:tc>
          <w:tcPr>
            <w:tcW w:w="1512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DE1" w:rsidRPr="0001504A" w:rsidRDefault="00210DE1" w:rsidP="00305CE0">
            <w:pPr>
              <w:spacing w:after="0"/>
              <w:textAlignment w:val="baseline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EE0D8A" w:rsidRPr="00093881" w:rsidRDefault="0064140B" w:rsidP="00827AC6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827AC6">
              <w:rPr>
                <w:rFonts w:ascii="Arial" w:hAnsi="Arial" w:cs="Arial"/>
                <w:b/>
                <w:bCs/>
                <w:color w:val="000000"/>
                <w:kern w:val="24"/>
                <w:sz w:val="32"/>
                <w:szCs w:val="28"/>
              </w:rPr>
              <w:t>College Level Skills</w:t>
            </w:r>
            <w:r w:rsidR="00133A71" w:rsidRPr="00827AC6">
              <w:rPr>
                <w:rFonts w:ascii="Arial" w:hAnsi="Arial" w:cs="Arial"/>
                <w:color w:val="000000"/>
                <w:kern w:val="24"/>
                <w:szCs w:val="20"/>
              </w:rPr>
              <w:t xml:space="preserve"> </w:t>
            </w:r>
            <w:r w:rsidR="00133A71" w:rsidRPr="00827AC6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- </w:t>
            </w:r>
            <w:r w:rsidRPr="00827AC6"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>For each proficiency area, candidates are required to meet the entry criteria, OR achieve a</w:t>
            </w:r>
            <w:r w:rsidR="00827AC6"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 xml:space="preserve"> </w:t>
            </w:r>
            <w:r w:rsidRPr="00827AC6">
              <w:rPr>
                <w:rFonts w:ascii="Calibri" w:hAnsi="Calibri" w:cs="Arial"/>
                <w:color w:val="000000"/>
                <w:kern w:val="24"/>
                <w:sz w:val="30"/>
                <w:szCs w:val="30"/>
              </w:rPr>
              <w:t>comparable score on an alternate test, OR attain the required grades in coursework indicated below.</w:t>
            </w:r>
            <w:r w:rsidRPr="00093881">
              <w:rPr>
                <w:rFonts w:ascii="Arial" w:hAnsi="Arial" w:cs="Arial"/>
                <w:color w:val="000000"/>
                <w:kern w:val="24"/>
                <w:sz w:val="40"/>
                <w:szCs w:val="36"/>
              </w:rPr>
              <w:t xml:space="preserve"> </w:t>
            </w:r>
          </w:p>
        </w:tc>
      </w:tr>
      <w:tr w:rsidR="0064140B" w:rsidRPr="000A476C" w:rsidTr="00F02840">
        <w:trPr>
          <w:trHeight w:val="615"/>
        </w:trPr>
        <w:tc>
          <w:tcPr>
            <w:tcW w:w="27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A476C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A47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</w:rPr>
              <w:t>Proficiency Area</w:t>
            </w:r>
            <w:r w:rsidRPr="000A476C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A476C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A47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</w:rPr>
              <w:t>Entry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0A47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</w:rPr>
              <w:t>Criteria</w:t>
            </w:r>
            <w:r w:rsidRPr="000A476C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A476C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A47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</w:rPr>
              <w:t>Alternate Test</w:t>
            </w:r>
            <w:r w:rsidRPr="000A476C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75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A476C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A47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</w:rPr>
              <w:t>Coursework</w:t>
            </w:r>
            <w:r w:rsidRPr="000A476C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64140B" w:rsidRPr="000A476C" w:rsidTr="00F02840">
        <w:trPr>
          <w:trHeight w:val="807"/>
        </w:trPr>
        <w:tc>
          <w:tcPr>
            <w:tcW w:w="27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tabs>
                <w:tab w:val="left" w:pos="370"/>
                <w:tab w:val="left" w:pos="550"/>
              </w:tabs>
              <w:textAlignment w:val="baseline"/>
              <w:rPr>
                <w:rFonts w:cs="Arial"/>
                <w:szCs w:val="36"/>
              </w:rPr>
            </w:pPr>
            <w:r w:rsidRPr="0001504A">
              <w:rPr>
                <w:b/>
                <w:bCs/>
                <w:color w:val="000000"/>
                <w:kern w:val="24"/>
                <w:sz w:val="28"/>
              </w:rPr>
              <w:t>Reading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THEA   </w:t>
            </w:r>
          </w:p>
          <w:p w:rsidR="00EE0D8A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Reading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250 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SAT Verbal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550, or</w:t>
            </w:r>
            <w:r w:rsidRPr="0001504A">
              <w:rPr>
                <w:rFonts w:eastAsia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E0D8A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ACT Verbal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21 </w:t>
            </w:r>
          </w:p>
        </w:tc>
        <w:tc>
          <w:tcPr>
            <w:tcW w:w="75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Grade of “B” or better </w:t>
            </w:r>
            <w:r w:rsidR="0066298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in RDG 131 OR </w:t>
            </w:r>
            <w:r w:rsidR="007E2D22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a “B”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in </w:t>
            </w:r>
            <w:r w:rsidR="00E93CE0">
              <w:rPr>
                <w:rFonts w:eastAsia="Times New Roman"/>
                <w:color w:val="000000"/>
                <w:kern w:val="24"/>
                <w:sz w:val="24"/>
                <w:szCs w:val="24"/>
              </w:rPr>
              <w:t>at least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F001F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w:r w:rsidR="00E93CE0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of the following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01504A">
              <w:rPr>
                <w:rFonts w:eastAsia="Times New Roman"/>
                <w:color w:val="000000"/>
                <w:kern w:val="24"/>
              </w:rPr>
              <w:t>ECO 230, 233, 234; ENG 265, 266, 267; GEO 131,161,265,266; HIS 163,164,</w:t>
            </w:r>
          </w:p>
          <w:p w:rsidR="00EE0D8A" w:rsidRPr="0001504A" w:rsidRDefault="0064140B" w:rsidP="005F001F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</w:rPr>
              <w:t>265,266; POL 261, 285; PSY131, PHL 261,262,263; SOC 168, 261,264.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64140B" w:rsidRPr="000A476C" w:rsidTr="00F02840">
        <w:trPr>
          <w:trHeight w:val="1224"/>
        </w:trPr>
        <w:tc>
          <w:tcPr>
            <w:tcW w:w="27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EE0D8A" w:rsidP="00EE0D8A">
            <w:pPr>
              <w:tabs>
                <w:tab w:val="left" w:pos="310"/>
                <w:tab w:val="left" w:pos="370"/>
                <w:tab w:val="left" w:pos="550"/>
              </w:tabs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24"/>
                <w:szCs w:val="36"/>
              </w:rPr>
            </w:pPr>
            <w:r w:rsidRPr="0001504A">
              <w:rPr>
                <w:rFonts w:eastAsia="Times New Roman"/>
                <w:b/>
                <w:bCs/>
                <w:color w:val="000000"/>
                <w:kern w:val="24"/>
                <w:sz w:val="28"/>
                <w:szCs w:val="24"/>
              </w:rPr>
              <w:t>Mathematics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THEA Math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230 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SAT Math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500, or ACT</w:t>
            </w:r>
          </w:p>
          <w:p w:rsidR="0064140B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Math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19, or ACCU-</w:t>
            </w:r>
          </w:p>
          <w:p w:rsidR="0064140B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PLACER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63, or ASSET</w:t>
            </w:r>
          </w:p>
          <w:p w:rsidR="00EE0D8A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38, or COMPASS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39</w:t>
            </w:r>
          </w:p>
        </w:tc>
        <w:tc>
          <w:tcPr>
            <w:tcW w:w="75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Grade of “B” or better in required core math courses</w:t>
            </w:r>
          </w:p>
          <w:p w:rsidR="0064140B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ACS -  MTH 184 and MTH 185 </w:t>
            </w:r>
          </w:p>
          <w:p w:rsidR="00EE0D8A" w:rsidRPr="0001504A" w:rsidRDefault="0064140B" w:rsidP="00EE0D8A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8-12 -  MTH 164, 170, 199 </w:t>
            </w:r>
            <w:r w:rsidR="00795206"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or other  required foundation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courses</w:t>
            </w:r>
            <w:r w:rsidRPr="0001504A">
              <w:rPr>
                <w:rFonts w:eastAsia="Times New Roman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64140B" w:rsidRPr="000A476C" w:rsidTr="00F02840">
        <w:trPr>
          <w:trHeight w:val="480"/>
        </w:trPr>
        <w:tc>
          <w:tcPr>
            <w:tcW w:w="27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EE0D8A" w:rsidP="00EE0D8A">
            <w:pPr>
              <w:tabs>
                <w:tab w:val="left" w:pos="370"/>
                <w:tab w:val="left" w:pos="550"/>
              </w:tabs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24"/>
                <w:szCs w:val="36"/>
              </w:rPr>
            </w:pPr>
            <w:r w:rsidRPr="0001504A">
              <w:rPr>
                <w:rFonts w:eastAsia="Times New Roman"/>
                <w:b/>
                <w:bCs/>
                <w:color w:val="000000"/>
                <w:kern w:val="24"/>
                <w:sz w:val="28"/>
                <w:szCs w:val="24"/>
              </w:rPr>
              <w:t>Writing</w:t>
            </w:r>
            <w:r w:rsidRPr="0001504A">
              <w:rPr>
                <w:rFonts w:eastAsia="Times New Roman" w:cs="Arial"/>
                <w:color w:val="000000"/>
                <w:kern w:val="24"/>
                <w:sz w:val="40"/>
                <w:szCs w:val="3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THEA Writing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240 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-----</w:t>
            </w:r>
            <w:r w:rsidRPr="0001504A">
              <w:rPr>
                <w:rFonts w:eastAsia="Times New Roman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75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Grade of “B” or better in English 164 and 165</w:t>
            </w:r>
            <w:r w:rsidRPr="0001504A">
              <w:rPr>
                <w:rFonts w:eastAsia="Times New Roman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64140B" w:rsidRPr="000A476C" w:rsidTr="00F02840">
        <w:trPr>
          <w:trHeight w:val="480"/>
        </w:trPr>
        <w:tc>
          <w:tcPr>
            <w:tcW w:w="27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tabs>
                <w:tab w:val="left" w:pos="370"/>
                <w:tab w:val="left" w:pos="550"/>
              </w:tabs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sz w:val="28"/>
                <w:szCs w:val="24"/>
              </w:rPr>
            </w:pPr>
            <w:r w:rsidRPr="0001504A">
              <w:rPr>
                <w:rFonts w:eastAsia="Times New Roman"/>
                <w:b/>
                <w:bCs/>
                <w:color w:val="000000"/>
                <w:kern w:val="24"/>
                <w:sz w:val="28"/>
                <w:szCs w:val="24"/>
              </w:rPr>
              <w:t>Critical Thinking</w:t>
            </w:r>
          </w:p>
        </w:tc>
        <w:tc>
          <w:tcPr>
            <w:tcW w:w="123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40B" w:rsidRPr="0001504A" w:rsidRDefault="0064140B" w:rsidP="00EE0D8A">
            <w:pPr>
              <w:spacing w:after="0" w:line="240" w:lineRule="auto"/>
              <w:ind w:left="547" w:hanging="547"/>
              <w:textAlignment w:val="baseline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Meet THEA Reading (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250) and THEA Mathematics (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  <w:u w:val="single"/>
              </w:rPr>
              <w:t>&gt;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230) criteria (or equivalent by Alternative Test or Coursework)</w:t>
            </w:r>
          </w:p>
        </w:tc>
      </w:tr>
      <w:tr w:rsidR="0064140B" w:rsidRPr="000A476C" w:rsidTr="00F97931">
        <w:trPr>
          <w:trHeight w:val="326"/>
        </w:trPr>
        <w:tc>
          <w:tcPr>
            <w:tcW w:w="27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EE0D8A" w:rsidP="00EE0D8A">
            <w:pPr>
              <w:tabs>
                <w:tab w:val="left" w:pos="370"/>
                <w:tab w:val="left" w:pos="550"/>
              </w:tabs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24"/>
                <w:szCs w:val="36"/>
              </w:rPr>
            </w:pPr>
            <w:r w:rsidRPr="0001504A">
              <w:rPr>
                <w:rFonts w:eastAsia="Times New Roman"/>
                <w:b/>
                <w:bCs/>
                <w:color w:val="000000"/>
                <w:kern w:val="24"/>
                <w:sz w:val="28"/>
                <w:szCs w:val="24"/>
              </w:rPr>
              <w:t>Oral Communication</w:t>
            </w:r>
            <w:r w:rsidRPr="0001504A">
              <w:rPr>
                <w:rFonts w:eastAsia="Times New Roman" w:cs="Arial"/>
                <w:color w:val="000000"/>
                <w:kern w:val="24"/>
                <w:sz w:val="40"/>
                <w:szCs w:val="3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----</w:t>
            </w:r>
            <w:r w:rsidRPr="0001504A">
              <w:rPr>
                <w:rFonts w:eastAsia="Times New Roman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64140B" w:rsidP="00EE0D8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-----</w:t>
            </w:r>
            <w:r w:rsidRPr="0001504A">
              <w:rPr>
                <w:rFonts w:eastAsia="Times New Roman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75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D8A" w:rsidRPr="0001504A" w:rsidRDefault="00B92C62" w:rsidP="00B92C62">
            <w:pPr>
              <w:spacing w:after="0" w:line="240" w:lineRule="auto"/>
              <w:ind w:left="547" w:hanging="547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Oral Communication s</w:t>
            </w:r>
            <w:r w:rsidR="00EE0D8A"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kills </w:t>
            </w:r>
            <w:r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>are</w:t>
            </w:r>
            <w:r w:rsidR="00EE0D8A" w:rsidRPr="0001504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assessed in certification course</w:t>
            </w:r>
          </w:p>
        </w:tc>
      </w:tr>
    </w:tbl>
    <w:p w:rsidR="0064140B" w:rsidRPr="007D48DF" w:rsidRDefault="00137861">
      <w:pPr>
        <w:rPr>
          <w:sz w:val="28"/>
          <w:szCs w:val="30"/>
        </w:rPr>
      </w:pPr>
      <w:r w:rsidRPr="0088193B">
        <w:rPr>
          <w:bCs/>
          <w:sz w:val="30"/>
          <w:szCs w:val="30"/>
        </w:rPr>
        <w:t>To remain in good standing</w:t>
      </w:r>
      <w:r w:rsidR="0088193B">
        <w:rPr>
          <w:bCs/>
          <w:sz w:val="30"/>
          <w:szCs w:val="30"/>
        </w:rPr>
        <w:t xml:space="preserve"> in the program</w:t>
      </w:r>
      <w:r w:rsidRPr="0088193B">
        <w:rPr>
          <w:bCs/>
          <w:sz w:val="30"/>
          <w:szCs w:val="30"/>
        </w:rPr>
        <w:t>, candidates need to continue to meet all criteria in College Performance requirements and demonstrate proficiency in each College Level Skills area as assessed by the program</w:t>
      </w:r>
      <w:r w:rsidR="00E852B1" w:rsidRPr="0088193B">
        <w:rPr>
          <w:bCs/>
          <w:sz w:val="30"/>
          <w:szCs w:val="30"/>
        </w:rPr>
        <w:t>.</w:t>
      </w:r>
      <w:r w:rsidR="007D48DF">
        <w:rPr>
          <w:bCs/>
          <w:sz w:val="30"/>
          <w:szCs w:val="30"/>
        </w:rPr>
        <w:t xml:space="preserve"> </w:t>
      </w:r>
      <w:r w:rsidR="007D48DF">
        <w:rPr>
          <w:bCs/>
          <w:sz w:val="30"/>
          <w:szCs w:val="30"/>
        </w:rPr>
        <w:tab/>
        <w:t xml:space="preserve">        </w:t>
      </w:r>
      <w:r w:rsidR="00431443">
        <w:rPr>
          <w:bCs/>
          <w:szCs w:val="30"/>
        </w:rPr>
        <w:t>(1/16</w:t>
      </w:r>
      <w:r w:rsidR="007D48DF" w:rsidRPr="007D48DF">
        <w:rPr>
          <w:bCs/>
          <w:szCs w:val="30"/>
        </w:rPr>
        <w:t>/08)</w:t>
      </w:r>
    </w:p>
    <w:sectPr w:rsidR="0064140B" w:rsidRPr="007D48DF" w:rsidSect="00A633B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5BFB"/>
    <w:multiLevelType w:val="hybridMultilevel"/>
    <w:tmpl w:val="BDAAA60C"/>
    <w:lvl w:ilvl="0" w:tplc="C484821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F7897"/>
    <w:multiLevelType w:val="hybridMultilevel"/>
    <w:tmpl w:val="A4E8DC66"/>
    <w:lvl w:ilvl="0" w:tplc="119841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2215D3"/>
    <w:multiLevelType w:val="hybridMultilevel"/>
    <w:tmpl w:val="30F823BC"/>
    <w:lvl w:ilvl="0" w:tplc="621C51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5F59CF"/>
    <w:multiLevelType w:val="hybridMultilevel"/>
    <w:tmpl w:val="2EA0019C"/>
    <w:lvl w:ilvl="0" w:tplc="851ADC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40B"/>
    <w:rsid w:val="0001504A"/>
    <w:rsid w:val="00023480"/>
    <w:rsid w:val="00056CCF"/>
    <w:rsid w:val="00093881"/>
    <w:rsid w:val="00106770"/>
    <w:rsid w:val="00133A71"/>
    <w:rsid w:val="00137861"/>
    <w:rsid w:val="001A17BF"/>
    <w:rsid w:val="00210DE1"/>
    <w:rsid w:val="00305CE0"/>
    <w:rsid w:val="0032031D"/>
    <w:rsid w:val="003E26EA"/>
    <w:rsid w:val="00431443"/>
    <w:rsid w:val="00470B1C"/>
    <w:rsid w:val="00497EF6"/>
    <w:rsid w:val="004D5661"/>
    <w:rsid w:val="005F001F"/>
    <w:rsid w:val="0064140B"/>
    <w:rsid w:val="0066298C"/>
    <w:rsid w:val="007116C2"/>
    <w:rsid w:val="00715FFF"/>
    <w:rsid w:val="00795206"/>
    <w:rsid w:val="007D48DF"/>
    <w:rsid w:val="007E2D22"/>
    <w:rsid w:val="00813EDD"/>
    <w:rsid w:val="00827AC6"/>
    <w:rsid w:val="0088193B"/>
    <w:rsid w:val="008A403F"/>
    <w:rsid w:val="009862AF"/>
    <w:rsid w:val="00A20AEE"/>
    <w:rsid w:val="00A633BB"/>
    <w:rsid w:val="00A775C7"/>
    <w:rsid w:val="00B1790D"/>
    <w:rsid w:val="00B92C62"/>
    <w:rsid w:val="00D9463C"/>
    <w:rsid w:val="00DA6597"/>
    <w:rsid w:val="00E37B10"/>
    <w:rsid w:val="00E852B1"/>
    <w:rsid w:val="00E92FF8"/>
    <w:rsid w:val="00E93CE0"/>
    <w:rsid w:val="00EB407D"/>
    <w:rsid w:val="00EE0D8A"/>
    <w:rsid w:val="00F02840"/>
    <w:rsid w:val="00F9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Computer Services</cp:lastModifiedBy>
  <cp:revision>2</cp:revision>
  <cp:lastPrinted>2008-01-15T22:35:00Z</cp:lastPrinted>
  <dcterms:created xsi:type="dcterms:W3CDTF">2008-05-22T17:21:00Z</dcterms:created>
  <dcterms:modified xsi:type="dcterms:W3CDTF">2008-05-22T17:21:00Z</dcterms:modified>
</cp:coreProperties>
</file>