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50" w:rsidRPr="007C4EC1" w:rsidRDefault="00EB5450" w:rsidP="00EB5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EC1">
        <w:rPr>
          <w:rFonts w:ascii="Times New Roman" w:hAnsi="Times New Roman"/>
          <w:b/>
          <w:sz w:val="28"/>
          <w:szCs w:val="28"/>
        </w:rPr>
        <w:t>Reflection and Self-Evaluation</w:t>
      </w:r>
    </w:p>
    <w:p w:rsidR="00EB5450" w:rsidRPr="007C4EC1" w:rsidRDefault="00EB5450" w:rsidP="00EB5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EC1">
        <w:rPr>
          <w:rFonts w:ascii="Times New Roman" w:hAnsi="Times New Roman"/>
          <w:b/>
          <w:sz w:val="28"/>
          <w:szCs w:val="28"/>
        </w:rPr>
        <w:t>Rubric</w:t>
      </w:r>
    </w:p>
    <w:p w:rsidR="00EB5450" w:rsidRPr="007C4EC1" w:rsidRDefault="00EB5450" w:rsidP="00EB5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5450" w:rsidRPr="007C4EC1" w:rsidRDefault="00EB5450" w:rsidP="00EB5450">
      <w:pPr>
        <w:spacing w:after="0"/>
        <w:rPr>
          <w:rFonts w:ascii="Times New Roman" w:hAnsi="Times New Roman"/>
          <w:b/>
          <w:sz w:val="24"/>
          <w:szCs w:val="24"/>
        </w:rPr>
      </w:pPr>
      <w:r w:rsidRPr="007C4EC1">
        <w:rPr>
          <w:rFonts w:ascii="Times New Roman" w:hAnsi="Times New Roman"/>
          <w:b/>
          <w:sz w:val="24"/>
          <w:szCs w:val="24"/>
        </w:rPr>
        <w:t>TWS Standard</w:t>
      </w:r>
    </w:p>
    <w:p w:rsidR="00EB5450" w:rsidRPr="007C4EC1" w:rsidRDefault="00EB5450" w:rsidP="00EB5450">
      <w:pPr>
        <w:spacing w:after="0"/>
        <w:rPr>
          <w:rFonts w:ascii="Times New Roman" w:hAnsi="Times New Roman"/>
          <w:b/>
          <w:i/>
        </w:rPr>
      </w:pPr>
      <w:r w:rsidRPr="007C4EC1">
        <w:rPr>
          <w:rFonts w:ascii="Times New Roman" w:hAnsi="Times New Roman"/>
          <w:b/>
          <w:i/>
        </w:rPr>
        <w:t>The teacher analyzes the relationship between his or her instruction and student learning in order to improve teaching practice.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2628"/>
        <w:gridCol w:w="2736"/>
        <w:gridCol w:w="2376"/>
        <w:gridCol w:w="810"/>
      </w:tblGrid>
      <w:tr w:rsidR="00EB5450" w:rsidRPr="007C4EC1" w:rsidTr="00361014">
        <w:trPr>
          <w:trHeight w:val="672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EB5450" w:rsidRPr="007C4EC1" w:rsidRDefault="00EB5450" w:rsidP="0036101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52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170815</wp:posOffset>
                      </wp:positionV>
                      <wp:extent cx="0" cy="225425"/>
                      <wp:effectExtent l="60325" t="8255" r="53975" b="234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8BA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8.1pt;margin-top:13.45pt;width:0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C52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95250</wp:posOffset>
                      </wp:positionV>
                      <wp:extent cx="174625" cy="0"/>
                      <wp:effectExtent l="7620" t="56515" r="17780" b="577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8BE82" id="Straight Arrow Connector 1" o:spid="_x0000_s1026" type="#_x0000_t32" style="position:absolute;margin-left:66.45pt;margin-top:7.5pt;width:1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7C4EC1">
              <w:rPr>
                <w:rFonts w:ascii="Times New Roman" w:hAnsi="Times New Roman"/>
                <w:b/>
              </w:rPr>
              <w:t>Rating</w:t>
            </w:r>
          </w:p>
          <w:p w:rsidR="00EB5450" w:rsidRPr="007C4EC1" w:rsidRDefault="00EB5450" w:rsidP="0036101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Indicator</w:t>
            </w:r>
          </w:p>
        </w:tc>
        <w:tc>
          <w:tcPr>
            <w:tcW w:w="26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5450" w:rsidRPr="007C4EC1" w:rsidRDefault="00EB545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B5450" w:rsidRPr="007C4EC1" w:rsidRDefault="00EB545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Not Met</w:t>
            </w:r>
          </w:p>
        </w:tc>
        <w:tc>
          <w:tcPr>
            <w:tcW w:w="27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5450" w:rsidRPr="007C4EC1" w:rsidRDefault="00EB545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B5450" w:rsidRPr="007C4EC1" w:rsidRDefault="00EB545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Partially Met</w:t>
            </w:r>
          </w:p>
        </w:tc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5450" w:rsidRPr="007C4EC1" w:rsidRDefault="00EB545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B5450" w:rsidRPr="007C4EC1" w:rsidRDefault="00EB545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Met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450" w:rsidRPr="007C4EC1" w:rsidRDefault="00EB545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</w:tr>
      <w:tr w:rsidR="00EB5450" w:rsidRPr="007C4EC1" w:rsidTr="00361014">
        <w:trPr>
          <w:trHeight w:val="1743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5450" w:rsidRPr="007C4EC1" w:rsidRDefault="00EB545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Interpretation of Student Learning</w:t>
            </w:r>
          </w:p>
        </w:tc>
        <w:tc>
          <w:tcPr>
            <w:tcW w:w="2628" w:type="dxa"/>
            <w:tcBorders>
              <w:top w:val="double" w:sz="4" w:space="0" w:color="auto"/>
            </w:tcBorders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No evidence or reasons provided 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support conclusions drawn in </w:t>
            </w:r>
            <w:r w:rsidRPr="00285DBF">
              <w:rPr>
                <w:rFonts w:ascii="Times New Roman" w:hAnsi="Times New Roman"/>
                <w:b/>
                <w:sz w:val="20"/>
                <w:szCs w:val="20"/>
              </w:rPr>
              <w:t>Analysis of Student Learning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section.</w:t>
            </w:r>
          </w:p>
        </w:tc>
        <w:tc>
          <w:tcPr>
            <w:tcW w:w="2736" w:type="dxa"/>
            <w:tcBorders>
              <w:top w:val="double" w:sz="4" w:space="0" w:color="auto"/>
            </w:tcBorders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Provides evidence but no (or simplistic, superficial) reasons or hypotheses 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support conclusions drawn in </w:t>
            </w:r>
            <w:r w:rsidRPr="00285DBF">
              <w:rPr>
                <w:rFonts w:ascii="Times New Roman" w:hAnsi="Times New Roman"/>
                <w:b/>
                <w:sz w:val="20"/>
                <w:szCs w:val="20"/>
              </w:rPr>
              <w:t>Analysis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5DBF">
              <w:rPr>
                <w:rFonts w:ascii="Times New Roman" w:hAnsi="Times New Roman"/>
                <w:b/>
                <w:sz w:val="20"/>
                <w:szCs w:val="20"/>
              </w:rPr>
              <w:t>of Student Learning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sections.</w:t>
            </w:r>
          </w:p>
        </w:tc>
        <w:tc>
          <w:tcPr>
            <w:tcW w:w="2376" w:type="dxa"/>
            <w:tcBorders>
              <w:top w:val="double" w:sz="4" w:space="0" w:color="auto"/>
            </w:tcBorders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Uses evidence 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support conclusions drawn in </w:t>
            </w:r>
            <w:r w:rsidRPr="00285DBF">
              <w:rPr>
                <w:rFonts w:ascii="Times New Roman" w:hAnsi="Times New Roman"/>
                <w:b/>
                <w:sz w:val="20"/>
                <w:szCs w:val="20"/>
              </w:rPr>
              <w:t>Analysis of Student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5DBF">
              <w:rPr>
                <w:rFonts w:ascii="Times New Roman" w:hAnsi="Times New Roman"/>
                <w:b/>
                <w:sz w:val="20"/>
                <w:szCs w:val="20"/>
              </w:rPr>
              <w:t>Learning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section.  Explores multiple hypotheses for why some students did not meet learning objectives.</w: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450" w:rsidRPr="007C4EC1" w:rsidTr="00361014">
        <w:trPr>
          <w:trHeight w:val="1250"/>
        </w:trPr>
        <w:tc>
          <w:tcPr>
            <w:tcW w:w="1890" w:type="dxa"/>
            <w:tcBorders>
              <w:left w:val="double" w:sz="4" w:space="0" w:color="auto"/>
            </w:tcBorders>
            <w:vAlign w:val="center"/>
          </w:tcPr>
          <w:p w:rsidR="00EB5450" w:rsidRPr="007C4EC1" w:rsidRDefault="00EB545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Insights on Effective Instruction and Assessment</w:t>
            </w:r>
            <w:r>
              <w:rPr>
                <w:rFonts w:ascii="Times New Roman" w:hAnsi="Times New Roman"/>
                <w:b/>
              </w:rPr>
              <w:t>(s)</w:t>
            </w:r>
          </w:p>
        </w:tc>
        <w:tc>
          <w:tcPr>
            <w:tcW w:w="2628" w:type="dxa"/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 xml:space="preserve">Provides no rationale for why some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objectives 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or assessments were more successful than others.</w:t>
            </w:r>
          </w:p>
        </w:tc>
        <w:tc>
          <w:tcPr>
            <w:tcW w:w="2736" w:type="dxa"/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 xml:space="preserve">Identifies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the most and least 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succes</w:t>
            </w:r>
            <w:r>
              <w:rPr>
                <w:rFonts w:ascii="Times New Roman" w:hAnsi="Times New Roman"/>
                <w:sz w:val="20"/>
                <w:szCs w:val="20"/>
              </w:rPr>
              <w:t>sful objectives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or assessments and superficially explores reasons for their success or lack thereof (no use of theory or research).</w:t>
            </w:r>
          </w:p>
        </w:tc>
        <w:tc>
          <w:tcPr>
            <w:tcW w:w="2376" w:type="dxa"/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 xml:space="preserve">Identifies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the most and least 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succes</w:t>
            </w:r>
            <w:r>
              <w:rPr>
                <w:rFonts w:ascii="Times New Roman" w:hAnsi="Times New Roman"/>
                <w:sz w:val="20"/>
                <w:szCs w:val="20"/>
              </w:rPr>
              <w:t>sful objectives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and assessments and provides plausible reasons (based on theory or research) for their success or lack thereof.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450" w:rsidRPr="007C4EC1" w:rsidTr="00361014">
        <w:trPr>
          <w:trHeight w:val="2141"/>
        </w:trPr>
        <w:tc>
          <w:tcPr>
            <w:tcW w:w="1890" w:type="dxa"/>
            <w:tcBorders>
              <w:left w:val="double" w:sz="4" w:space="0" w:color="auto"/>
            </w:tcBorders>
            <w:vAlign w:val="center"/>
          </w:tcPr>
          <w:p w:rsidR="00EB5450" w:rsidRPr="007C4EC1" w:rsidRDefault="00EB545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Alignment Among Objectives, Instruction</w:t>
            </w:r>
            <w:r>
              <w:rPr>
                <w:rFonts w:ascii="Times New Roman" w:hAnsi="Times New Roman"/>
                <w:b/>
              </w:rPr>
              <w:t>,</w:t>
            </w:r>
            <w:r w:rsidRPr="007C4EC1">
              <w:rPr>
                <w:rFonts w:ascii="Times New Roman" w:hAnsi="Times New Roman"/>
                <w:b/>
              </w:rPr>
              <w:t xml:space="preserve"> and Assessment</w:t>
            </w:r>
            <w:r>
              <w:rPr>
                <w:rFonts w:ascii="Times New Roman" w:hAnsi="Times New Roman"/>
                <w:b/>
              </w:rPr>
              <w:t>(s)</w:t>
            </w:r>
          </w:p>
        </w:tc>
        <w:tc>
          <w:tcPr>
            <w:tcW w:w="2628" w:type="dxa"/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Does not connect learning objectives, instruction, and assessment results in the discussion of student learning and effective instruction and/or the connections are irrelevant or inaccurate.</w:t>
            </w:r>
          </w:p>
        </w:tc>
        <w:tc>
          <w:tcPr>
            <w:tcW w:w="2736" w:type="dxa"/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Connects learning objectives, instruction, and assessment results in the discussion of student learning and effective instruction, but misunderstandings or conceptual gaps are present.</w:t>
            </w:r>
          </w:p>
        </w:tc>
        <w:tc>
          <w:tcPr>
            <w:tcW w:w="2376" w:type="dxa"/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Logically connects learning objectives, instruction, and assessment results in the discussion of student learning and effective instruction.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450" w:rsidRPr="007C4EC1" w:rsidTr="00361014">
        <w:trPr>
          <w:trHeight w:val="1700"/>
        </w:trPr>
        <w:tc>
          <w:tcPr>
            <w:tcW w:w="1890" w:type="dxa"/>
            <w:tcBorders>
              <w:left w:val="double" w:sz="4" w:space="0" w:color="auto"/>
            </w:tcBorders>
            <w:vAlign w:val="center"/>
          </w:tcPr>
          <w:p w:rsidR="00EB5450" w:rsidRPr="007C4EC1" w:rsidRDefault="00EB545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Implications for Future Teaching</w:t>
            </w:r>
          </w:p>
        </w:tc>
        <w:tc>
          <w:tcPr>
            <w:tcW w:w="2628" w:type="dxa"/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Provides no ideas or inappropriate ideas for redesigning learning objectives, instruction, and assessment.</w:t>
            </w:r>
          </w:p>
        </w:tc>
        <w:tc>
          <w:tcPr>
            <w:tcW w:w="2736" w:type="dxa"/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Provides ideas for redesigning learning objectives, instruction, and assessment but offers no rationale for why these changes would improve student learning.</w:t>
            </w:r>
          </w:p>
        </w:tc>
        <w:tc>
          <w:tcPr>
            <w:tcW w:w="2376" w:type="dxa"/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Provides ideas for redesigning learning objectives, instruction, and assessment and explains why these modifications would improve student learning.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450" w:rsidRPr="007C4EC1" w:rsidTr="00361014">
        <w:trPr>
          <w:trHeight w:val="1934"/>
        </w:trPr>
        <w:tc>
          <w:tcPr>
            <w:tcW w:w="189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5450" w:rsidRPr="007C4EC1" w:rsidRDefault="00EB545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Implications for Professional Development</w:t>
            </w:r>
          </w:p>
        </w:tc>
        <w:tc>
          <w:tcPr>
            <w:tcW w:w="2628" w:type="dxa"/>
            <w:tcBorders>
              <w:bottom w:val="double" w:sz="4" w:space="0" w:color="auto"/>
            </w:tcBorders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Provides no professional learning objectives or objectives that are not related to the insights and experiences described in this section.</w:t>
            </w:r>
          </w:p>
        </w:tc>
        <w:tc>
          <w:tcPr>
            <w:tcW w:w="2736" w:type="dxa"/>
            <w:tcBorders>
              <w:bottom w:val="double" w:sz="4" w:space="0" w:color="auto"/>
            </w:tcBorders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Presents professional learning objectives that are not strongly related to the insights and experiences described in this section and/or provides a vague plan for meeting the objectives.</w:t>
            </w:r>
          </w:p>
        </w:tc>
        <w:tc>
          <w:tcPr>
            <w:tcW w:w="2376" w:type="dxa"/>
            <w:tcBorders>
              <w:bottom w:val="double" w:sz="4" w:space="0" w:color="auto"/>
            </w:tcBorders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Presents a small number of professional learning objectives that clearly emerge from the insights and experiences described in this section.  Describes specific steps to meet these objectives.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Identifies professional organizations.</w:t>
            </w: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5450" w:rsidRPr="007C4EC1" w:rsidRDefault="00EB5450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0EC9" w:rsidRDefault="00640EC9">
      <w:bookmarkStart w:id="0" w:name="_GoBack"/>
      <w:bookmarkEnd w:id="0"/>
    </w:p>
    <w:sectPr w:rsidR="0064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50"/>
    <w:rsid w:val="00640EC9"/>
    <w:rsid w:val="00E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5:chartTrackingRefBased/>
  <w15:docId w15:val="{7282955B-E06B-4BD7-95D5-4FF685FF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4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F96269D8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Hollas, Victoria</dc:creator>
  <cp:keywords/>
  <dc:description/>
  <cp:lastModifiedBy>Hollas, Victoria</cp:lastModifiedBy>
  <cp:revision>1</cp:revision>
  <dcterms:created xsi:type="dcterms:W3CDTF">2014-08-19T18:42:00Z</dcterms:created>
  <dcterms:modified xsi:type="dcterms:W3CDTF">2014-08-19T18:42:00Z</dcterms:modified>
</cp:coreProperties>
</file>