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509" w:rsidRPr="007C4EC1" w:rsidRDefault="00BB7509" w:rsidP="00BB7509">
      <w:pPr>
        <w:jc w:val="center"/>
        <w:rPr>
          <w:rFonts w:ascii="Times New Roman" w:hAnsi="Times New Roman"/>
          <w:b/>
          <w:sz w:val="28"/>
          <w:szCs w:val="28"/>
        </w:rPr>
      </w:pPr>
      <w:r w:rsidRPr="007C4EC1">
        <w:rPr>
          <w:rFonts w:ascii="Times New Roman" w:hAnsi="Times New Roman"/>
          <w:b/>
          <w:sz w:val="28"/>
          <w:szCs w:val="28"/>
        </w:rPr>
        <w:t>Contextual Factors</w:t>
      </w:r>
    </w:p>
    <w:p w:rsidR="00BB7509" w:rsidRPr="007C4EC1" w:rsidRDefault="00BB7509" w:rsidP="00BB7509">
      <w:pPr>
        <w:spacing w:after="0"/>
        <w:rPr>
          <w:rFonts w:ascii="Times New Roman" w:hAnsi="Times New Roman"/>
          <w:b/>
          <w:sz w:val="24"/>
          <w:szCs w:val="24"/>
        </w:rPr>
      </w:pPr>
      <w:r w:rsidRPr="007C4EC1">
        <w:rPr>
          <w:rFonts w:ascii="Times New Roman" w:hAnsi="Times New Roman"/>
          <w:b/>
          <w:sz w:val="24"/>
          <w:szCs w:val="24"/>
        </w:rPr>
        <w:t>TWS Standard</w:t>
      </w:r>
    </w:p>
    <w:p w:rsidR="00BB7509" w:rsidRPr="007C4EC1" w:rsidRDefault="00BB7509" w:rsidP="00BB7509">
      <w:pPr>
        <w:spacing w:after="0"/>
        <w:rPr>
          <w:rFonts w:ascii="Times New Roman" w:hAnsi="Times New Roman"/>
          <w:b/>
          <w:i/>
        </w:rPr>
      </w:pPr>
      <w:r w:rsidRPr="007C4EC1">
        <w:rPr>
          <w:rFonts w:ascii="Times New Roman" w:hAnsi="Times New Roman"/>
          <w:b/>
          <w:i/>
        </w:rPr>
        <w:t>The teacher uses information about the learning-teaching context and student individual differences to set learning objectives and plan instruction and assessment.</w:t>
      </w:r>
    </w:p>
    <w:p w:rsidR="00BB7509" w:rsidRPr="007C4EC1" w:rsidRDefault="00BB7509" w:rsidP="00BB7509">
      <w:pPr>
        <w:spacing w:after="0"/>
        <w:rPr>
          <w:rFonts w:ascii="Times New Roman" w:hAnsi="Times New Roman"/>
          <w:b/>
          <w:i/>
        </w:rPr>
      </w:pPr>
    </w:p>
    <w:p w:rsidR="00BB7509" w:rsidRPr="007C4EC1" w:rsidRDefault="00BB7509" w:rsidP="00BB7509">
      <w:pPr>
        <w:spacing w:after="0"/>
        <w:rPr>
          <w:rFonts w:ascii="Times New Roman" w:hAnsi="Times New Roman"/>
          <w:b/>
          <w:sz w:val="24"/>
          <w:szCs w:val="24"/>
        </w:rPr>
      </w:pPr>
      <w:r w:rsidRPr="007C4EC1">
        <w:rPr>
          <w:rFonts w:ascii="Times New Roman" w:hAnsi="Times New Roman"/>
          <w:b/>
          <w:sz w:val="24"/>
          <w:szCs w:val="24"/>
        </w:rPr>
        <w:t>Task</w:t>
      </w:r>
    </w:p>
    <w:p w:rsidR="00BB7509" w:rsidRPr="007C4EC1" w:rsidRDefault="00BB7509" w:rsidP="00BB7509">
      <w:pPr>
        <w:spacing w:after="0"/>
        <w:rPr>
          <w:rFonts w:ascii="Times New Roman" w:hAnsi="Times New Roman"/>
        </w:rPr>
      </w:pPr>
      <w:r w:rsidRPr="007C4EC1">
        <w:rPr>
          <w:rFonts w:ascii="Times New Roman" w:hAnsi="Times New Roman"/>
        </w:rPr>
        <w:t xml:space="preserve">Discuss </w:t>
      </w:r>
      <w:r w:rsidRPr="005B422E">
        <w:rPr>
          <w:rFonts w:ascii="Times New Roman" w:hAnsi="Times New Roman"/>
          <w:b/>
        </w:rPr>
        <w:t>relevant</w:t>
      </w:r>
      <w:r w:rsidRPr="007C4EC1">
        <w:rPr>
          <w:rFonts w:ascii="Times New Roman" w:hAnsi="Times New Roman"/>
        </w:rPr>
        <w:t xml:space="preserve"> factors and how they may affect the teaching-learning process.  Include any supports and challenges that affect instruction and student learning.</w:t>
      </w:r>
    </w:p>
    <w:p w:rsidR="00BB7509" w:rsidRPr="007C4EC1" w:rsidRDefault="00BB7509" w:rsidP="00BB7509">
      <w:pPr>
        <w:spacing w:after="0"/>
        <w:rPr>
          <w:rFonts w:ascii="Times New Roman" w:hAnsi="Times New Roman"/>
        </w:rPr>
      </w:pPr>
    </w:p>
    <w:p w:rsidR="00BB7509" w:rsidRPr="007C4EC1" w:rsidRDefault="00BB7509" w:rsidP="00BB7509">
      <w:pPr>
        <w:spacing w:after="0"/>
        <w:rPr>
          <w:rFonts w:ascii="Times New Roman" w:hAnsi="Times New Roman"/>
          <w:b/>
          <w:sz w:val="24"/>
          <w:szCs w:val="24"/>
        </w:rPr>
      </w:pPr>
      <w:r w:rsidRPr="007C4EC1">
        <w:rPr>
          <w:rFonts w:ascii="Times New Roman" w:hAnsi="Times New Roman"/>
          <w:b/>
          <w:sz w:val="24"/>
          <w:szCs w:val="24"/>
        </w:rPr>
        <w:t>Prompt</w:t>
      </w:r>
    </w:p>
    <w:p w:rsidR="00BB7509" w:rsidRPr="007C4EC1" w:rsidRDefault="00BB7509" w:rsidP="00BB7509">
      <w:pPr>
        <w:spacing w:after="0"/>
        <w:rPr>
          <w:rFonts w:ascii="Times New Roman" w:hAnsi="Times New Roman"/>
        </w:rPr>
      </w:pPr>
      <w:r w:rsidRPr="007C4EC1">
        <w:rPr>
          <w:rFonts w:ascii="Times New Roman" w:hAnsi="Times New Roman"/>
        </w:rPr>
        <w:t>In your discussion, include:</w:t>
      </w:r>
    </w:p>
    <w:p w:rsidR="00BB7509" w:rsidRPr="007C4EC1" w:rsidRDefault="00BB7509" w:rsidP="00BB7509">
      <w:pPr>
        <w:pStyle w:val="ListParagraph"/>
        <w:numPr>
          <w:ilvl w:val="0"/>
          <w:numId w:val="1"/>
        </w:numPr>
        <w:spacing w:after="0"/>
        <w:rPr>
          <w:rFonts w:ascii="Times New Roman" w:hAnsi="Times New Roman"/>
        </w:rPr>
      </w:pPr>
      <w:r w:rsidRPr="007C4EC1">
        <w:rPr>
          <w:rFonts w:ascii="Times New Roman" w:hAnsi="Times New Roman"/>
          <w:b/>
        </w:rPr>
        <w:t>Community, district</w:t>
      </w:r>
      <w:r>
        <w:rPr>
          <w:rFonts w:ascii="Times New Roman" w:hAnsi="Times New Roman"/>
          <w:b/>
        </w:rPr>
        <w:t>,</w:t>
      </w:r>
      <w:r w:rsidRPr="007C4EC1">
        <w:rPr>
          <w:rFonts w:ascii="Times New Roman" w:hAnsi="Times New Roman"/>
          <w:b/>
        </w:rPr>
        <w:t xml:space="preserve"> and school factors.</w:t>
      </w:r>
      <w:r w:rsidRPr="007C4EC1">
        <w:rPr>
          <w:rFonts w:ascii="Times New Roman" w:hAnsi="Times New Roman"/>
        </w:rPr>
        <w:t xml:space="preserve">  Address geographic location, community</w:t>
      </w:r>
      <w:r>
        <w:rPr>
          <w:rFonts w:ascii="Times New Roman" w:hAnsi="Times New Roman"/>
        </w:rPr>
        <w:t>,</w:t>
      </w:r>
      <w:r w:rsidRPr="007C4EC1">
        <w:rPr>
          <w:rFonts w:ascii="Times New Roman" w:hAnsi="Times New Roman"/>
        </w:rPr>
        <w:t xml:space="preserve"> and school population, socio-economic profile and race/ethnicity (this information should be obtained from the campus </w:t>
      </w:r>
      <w:r>
        <w:rPr>
          <w:rFonts w:ascii="Times New Roman" w:hAnsi="Times New Roman"/>
        </w:rPr>
        <w:t>TAPR</w:t>
      </w:r>
      <w:r w:rsidRPr="007C4EC1">
        <w:rPr>
          <w:rFonts w:ascii="Times New Roman" w:hAnsi="Times New Roman"/>
        </w:rPr>
        <w:t xml:space="preserve"> report).  You might also address such things as stability of community, political climate, community support for education, and o</w:t>
      </w:r>
      <w:r>
        <w:rPr>
          <w:rFonts w:ascii="Times New Roman" w:hAnsi="Times New Roman"/>
        </w:rPr>
        <w:t>ther environmental factors.  A Community</w:t>
      </w:r>
      <w:r w:rsidRPr="007C4EC1">
        <w:rPr>
          <w:rFonts w:ascii="Times New Roman" w:hAnsi="Times New Roman"/>
        </w:rPr>
        <w:t xml:space="preserve"> Chamber of Commerce website usually offers this information. </w:t>
      </w:r>
    </w:p>
    <w:p w:rsidR="00BB7509" w:rsidRPr="007C4EC1" w:rsidRDefault="00BB7509" w:rsidP="00BB7509">
      <w:pPr>
        <w:pStyle w:val="ListParagraph"/>
        <w:numPr>
          <w:ilvl w:val="0"/>
          <w:numId w:val="1"/>
        </w:numPr>
        <w:spacing w:after="0"/>
        <w:rPr>
          <w:rFonts w:ascii="Times New Roman" w:hAnsi="Times New Roman"/>
        </w:rPr>
      </w:pPr>
      <w:r w:rsidRPr="007C4EC1">
        <w:rPr>
          <w:rFonts w:ascii="Times New Roman" w:hAnsi="Times New Roman"/>
          <w:b/>
        </w:rPr>
        <w:t xml:space="preserve">Classroom factors.  </w:t>
      </w:r>
      <w:r w:rsidRPr="007C4EC1">
        <w:rPr>
          <w:rFonts w:ascii="Times New Roman" w:hAnsi="Times New Roman"/>
        </w:rPr>
        <w:t>Address physical features, availability of technology equipment</w:t>
      </w:r>
      <w:r>
        <w:rPr>
          <w:rFonts w:ascii="Times New Roman" w:hAnsi="Times New Roman"/>
        </w:rPr>
        <w:t xml:space="preserve">, </w:t>
      </w:r>
      <w:r w:rsidRPr="007C4EC1">
        <w:rPr>
          <w:rFonts w:ascii="Times New Roman" w:hAnsi="Times New Roman"/>
        </w:rPr>
        <w:t>resources</w:t>
      </w:r>
      <w:r>
        <w:rPr>
          <w:rFonts w:ascii="Times New Roman" w:hAnsi="Times New Roman"/>
        </w:rPr>
        <w:t>,</w:t>
      </w:r>
      <w:r w:rsidRPr="007C4EC1">
        <w:rPr>
          <w:rFonts w:ascii="Times New Roman" w:hAnsi="Times New Roman"/>
        </w:rPr>
        <w:t xml:space="preserve"> and the extent of parental involvement.  You might also discuss other relevant factors such as classroom rules and routines, grouping patterns, scheduling and classroom arrangement.</w:t>
      </w:r>
    </w:p>
    <w:p w:rsidR="00BB7509" w:rsidRDefault="00BB7509" w:rsidP="00BB7509">
      <w:pPr>
        <w:pStyle w:val="ListParagraph"/>
        <w:numPr>
          <w:ilvl w:val="0"/>
          <w:numId w:val="1"/>
        </w:numPr>
        <w:spacing w:after="0"/>
        <w:rPr>
          <w:rFonts w:ascii="Times New Roman" w:hAnsi="Times New Roman"/>
        </w:rPr>
      </w:pPr>
      <w:r w:rsidRPr="007C4EC1">
        <w:rPr>
          <w:rFonts w:ascii="Times New Roman" w:hAnsi="Times New Roman"/>
          <w:b/>
        </w:rPr>
        <w:t>Student characteristics.</w:t>
      </w:r>
      <w:r w:rsidRPr="007C4EC1">
        <w:rPr>
          <w:rFonts w:ascii="Times New Roman" w:hAnsi="Times New Roman"/>
        </w:rPr>
        <w:t xml:space="preserve">  Address student characteristics you must as you design instruction and assess learning.  Include factors such as</w:t>
      </w:r>
      <w:r>
        <w:rPr>
          <w:rFonts w:ascii="Times New Roman" w:hAnsi="Times New Roman"/>
        </w:rPr>
        <w:t>:</w:t>
      </w:r>
    </w:p>
    <w:p w:rsidR="00BB7509" w:rsidRDefault="00BB7509" w:rsidP="00BB7509">
      <w:pPr>
        <w:pStyle w:val="ListParagraph"/>
        <w:numPr>
          <w:ilvl w:val="1"/>
          <w:numId w:val="1"/>
        </w:numPr>
        <w:spacing w:after="0"/>
        <w:rPr>
          <w:rFonts w:ascii="Times New Roman" w:hAnsi="Times New Roman"/>
        </w:rPr>
      </w:pPr>
      <w:proofErr w:type="gramStart"/>
      <w:r>
        <w:rPr>
          <w:rFonts w:ascii="Times New Roman" w:hAnsi="Times New Roman"/>
        </w:rPr>
        <w:t>students</w:t>
      </w:r>
      <w:proofErr w:type="gramEnd"/>
      <w:r>
        <w:rPr>
          <w:rFonts w:ascii="Times New Roman" w:hAnsi="Times New Roman"/>
        </w:rPr>
        <w:t xml:space="preserve">’ characteristics (i.e., </w:t>
      </w:r>
      <w:r w:rsidRPr="007C4EC1">
        <w:rPr>
          <w:rFonts w:ascii="Times New Roman" w:hAnsi="Times New Roman"/>
        </w:rPr>
        <w:t>age, gender, race/ethnicity, special needs, achievement/developmental level</w:t>
      </w:r>
      <w:r>
        <w:rPr>
          <w:rFonts w:ascii="Times New Roman" w:hAnsi="Times New Roman"/>
        </w:rPr>
        <w:t>s, culture, interests, etc.);</w:t>
      </w:r>
      <w:r w:rsidRPr="007C4EC1">
        <w:rPr>
          <w:rFonts w:ascii="Times New Roman" w:hAnsi="Times New Roman"/>
        </w:rPr>
        <w:t xml:space="preserve"> </w:t>
      </w:r>
    </w:p>
    <w:p w:rsidR="00BB7509" w:rsidRDefault="00BB7509" w:rsidP="00BB7509">
      <w:pPr>
        <w:pStyle w:val="ListParagraph"/>
        <w:numPr>
          <w:ilvl w:val="1"/>
          <w:numId w:val="1"/>
        </w:numPr>
        <w:spacing w:after="0"/>
        <w:rPr>
          <w:rFonts w:ascii="Times New Roman" w:hAnsi="Times New Roman"/>
        </w:rPr>
      </w:pPr>
      <w:r>
        <w:rPr>
          <w:rFonts w:ascii="Times New Roman" w:hAnsi="Times New Roman"/>
        </w:rPr>
        <w:t>students’ varied approaches to learning (i.e., English Language Proficiency level, Reading level, Response to Intervention (</w:t>
      </w:r>
      <w:proofErr w:type="spellStart"/>
      <w:r>
        <w:rPr>
          <w:rFonts w:ascii="Times New Roman" w:hAnsi="Times New Roman"/>
        </w:rPr>
        <w:t>RtI</w:t>
      </w:r>
      <w:proofErr w:type="spellEnd"/>
      <w:r>
        <w:rPr>
          <w:rFonts w:ascii="Times New Roman" w:hAnsi="Times New Roman"/>
        </w:rPr>
        <w:t>), Learning Modalities, etc.); and</w:t>
      </w:r>
    </w:p>
    <w:p w:rsidR="00BB7509" w:rsidRPr="007C4EC1" w:rsidRDefault="00BB7509" w:rsidP="00BB7509">
      <w:pPr>
        <w:pStyle w:val="ListParagraph"/>
        <w:numPr>
          <w:ilvl w:val="1"/>
          <w:numId w:val="1"/>
        </w:numPr>
        <w:spacing w:after="0"/>
        <w:rPr>
          <w:rFonts w:ascii="Times New Roman" w:hAnsi="Times New Roman"/>
        </w:rPr>
      </w:pPr>
      <w:proofErr w:type="gramStart"/>
      <w:r>
        <w:rPr>
          <w:rFonts w:ascii="Times New Roman" w:hAnsi="Times New Roman"/>
        </w:rPr>
        <w:t>students</w:t>
      </w:r>
      <w:proofErr w:type="gramEnd"/>
      <w:r>
        <w:rPr>
          <w:rFonts w:ascii="Times New Roman" w:hAnsi="Times New Roman"/>
        </w:rPr>
        <w:t xml:space="preserve">’ </w:t>
      </w:r>
      <w:r w:rsidRPr="007C4EC1">
        <w:rPr>
          <w:rFonts w:ascii="Times New Roman" w:hAnsi="Times New Roman"/>
        </w:rPr>
        <w:t>skill levels</w:t>
      </w:r>
      <w:r>
        <w:rPr>
          <w:rFonts w:ascii="Times New Roman" w:hAnsi="Times New Roman"/>
        </w:rPr>
        <w:t xml:space="preserve"> and prior learning </w:t>
      </w:r>
      <w:r w:rsidRPr="007C4EC1">
        <w:rPr>
          <w:rFonts w:ascii="Times New Roman" w:hAnsi="Times New Roman"/>
        </w:rPr>
        <w:t>that may i</w:t>
      </w:r>
      <w:r>
        <w:rPr>
          <w:rFonts w:ascii="Times New Roman" w:hAnsi="Times New Roman"/>
        </w:rPr>
        <w:t>nfluence the development of</w:t>
      </w:r>
      <w:r w:rsidRPr="007C4EC1">
        <w:rPr>
          <w:rFonts w:ascii="Times New Roman" w:hAnsi="Times New Roman"/>
        </w:rPr>
        <w:t xml:space="preserve"> learning objectives, instruction and assessment</w:t>
      </w:r>
      <w:r>
        <w:rPr>
          <w:rFonts w:ascii="Times New Roman" w:hAnsi="Times New Roman"/>
        </w:rPr>
        <w:t>s</w:t>
      </w:r>
      <w:r w:rsidRPr="007C4EC1">
        <w:rPr>
          <w:rFonts w:ascii="Times New Roman" w:hAnsi="Times New Roman"/>
        </w:rPr>
        <w:t>.</w:t>
      </w:r>
    </w:p>
    <w:p w:rsidR="00BB7509" w:rsidRPr="007C4EC1" w:rsidRDefault="00BB7509" w:rsidP="00BB7509">
      <w:pPr>
        <w:pStyle w:val="ListParagraph"/>
        <w:numPr>
          <w:ilvl w:val="0"/>
          <w:numId w:val="1"/>
        </w:numPr>
        <w:spacing w:after="0"/>
        <w:rPr>
          <w:rFonts w:ascii="Times New Roman" w:hAnsi="Times New Roman"/>
        </w:rPr>
      </w:pPr>
      <w:r w:rsidRPr="007C4EC1">
        <w:rPr>
          <w:rFonts w:ascii="Times New Roman" w:hAnsi="Times New Roman"/>
          <w:b/>
        </w:rPr>
        <w:t>Instructional implications.</w:t>
      </w:r>
      <w:r w:rsidRPr="007C4EC1">
        <w:rPr>
          <w:rFonts w:ascii="Times New Roman" w:hAnsi="Times New Roman"/>
        </w:rPr>
        <w:t xml:space="preserve">  Address how contextual characteristics of the community, </w:t>
      </w:r>
      <w:r>
        <w:rPr>
          <w:rFonts w:ascii="Times New Roman" w:hAnsi="Times New Roman"/>
        </w:rPr>
        <w:t xml:space="preserve">district, school, </w:t>
      </w:r>
      <w:r w:rsidRPr="007C4EC1">
        <w:rPr>
          <w:rFonts w:ascii="Times New Roman" w:hAnsi="Times New Roman"/>
        </w:rPr>
        <w:t>classroom</w:t>
      </w:r>
      <w:r>
        <w:rPr>
          <w:rFonts w:ascii="Times New Roman" w:hAnsi="Times New Roman"/>
        </w:rPr>
        <w:t>,</w:t>
      </w:r>
      <w:r w:rsidRPr="007C4EC1">
        <w:rPr>
          <w:rFonts w:ascii="Times New Roman" w:hAnsi="Times New Roman"/>
        </w:rPr>
        <w:t xml:space="preserve"> and students have implications for instructional planning and assessment.  Include specific instructional implications for at least two characteristics and any other factors that will influence how you plan and implement your unit.</w:t>
      </w:r>
    </w:p>
    <w:p w:rsidR="00BB7509" w:rsidRPr="007C4EC1" w:rsidRDefault="00BB7509" w:rsidP="00BB7509">
      <w:pPr>
        <w:spacing w:after="0"/>
        <w:rPr>
          <w:rFonts w:ascii="Times New Roman" w:hAnsi="Times New Roman"/>
        </w:rPr>
      </w:pPr>
    </w:p>
    <w:p w:rsidR="00BB7509" w:rsidRPr="007C4EC1" w:rsidRDefault="00BB7509" w:rsidP="00BB7509">
      <w:pPr>
        <w:spacing w:after="0"/>
        <w:rPr>
          <w:rFonts w:ascii="Times New Roman" w:hAnsi="Times New Roman"/>
          <w:sz w:val="24"/>
          <w:szCs w:val="24"/>
        </w:rPr>
      </w:pPr>
      <w:r w:rsidRPr="007C4EC1">
        <w:rPr>
          <w:rFonts w:ascii="Times New Roman" w:hAnsi="Times New Roman"/>
          <w:b/>
          <w:sz w:val="24"/>
          <w:szCs w:val="24"/>
        </w:rPr>
        <w:t>Suggested Page Length:</w:t>
      </w:r>
      <w:r w:rsidRPr="007C4EC1">
        <w:rPr>
          <w:rFonts w:ascii="Times New Roman" w:hAnsi="Times New Roman"/>
          <w:sz w:val="24"/>
          <w:szCs w:val="24"/>
        </w:rPr>
        <w:t xml:space="preserve"> 1 – 2</w:t>
      </w:r>
    </w:p>
    <w:p w:rsidR="00BB7509" w:rsidRPr="007C4EC1" w:rsidRDefault="00BB7509" w:rsidP="00BB7509">
      <w:pPr>
        <w:spacing w:after="0"/>
        <w:rPr>
          <w:rFonts w:ascii="Times New Roman" w:hAnsi="Times New Roman"/>
          <w:sz w:val="24"/>
          <w:szCs w:val="24"/>
        </w:rPr>
      </w:pPr>
      <w:r w:rsidRPr="00C52C62">
        <w:rPr>
          <w:noProof/>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34290</wp:posOffset>
                </wp:positionV>
                <wp:extent cx="5943600" cy="0"/>
                <wp:effectExtent l="5080" t="5080" r="13970"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867820" id="_x0000_t32" coordsize="21600,21600" o:spt="32" o:oned="t" path="m,l21600,21600e" filled="f">
                <v:path arrowok="t" fillok="f" o:connecttype="none"/>
                <o:lock v:ext="edit" shapetype="t"/>
              </v:shapetype>
              <v:shape id="Straight Arrow Connector 1" o:spid="_x0000_s1026" type="#_x0000_t32" style="position:absolute;margin-left:-1.85pt;margin-top:2.7pt;width:46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iuJQIAAEo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"/>
            </w:pict>
          </mc:Fallback>
        </mc:AlternateContent>
      </w:r>
    </w:p>
    <w:p w:rsidR="00BB7509" w:rsidRPr="007C4EC1" w:rsidRDefault="00BB7509" w:rsidP="00BB7509">
      <w:pPr>
        <w:spacing w:after="0"/>
        <w:rPr>
          <w:rFonts w:ascii="Times New Roman" w:hAnsi="Times New Roman"/>
          <w:sz w:val="24"/>
          <w:szCs w:val="24"/>
        </w:rPr>
      </w:pPr>
    </w:p>
    <w:p w:rsidR="00640EC9" w:rsidRDefault="00640EC9">
      <w:bookmarkStart w:id="0" w:name="_GoBack"/>
      <w:bookmarkEnd w:id="0"/>
    </w:p>
    <w:sectPr w:rsidR="00640E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42D82"/>
    <w:multiLevelType w:val="hybridMultilevel"/>
    <w:tmpl w:val="41EEBE4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509"/>
    <w:rsid w:val="00640EC9"/>
    <w:rsid w:val="00BB7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chartTrackingRefBased/>
  <w15:docId w15:val="{9BAAE8A0-568B-4FAB-B618-48E8D231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509"/>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F96269D8</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Hollas, Victoria</dc:creator>
  <cp:keywords/>
  <dc:description/>
  <cp:lastModifiedBy>Hollas, Victoria</cp:lastModifiedBy>
  <cp:revision>1</cp:revision>
  <dcterms:created xsi:type="dcterms:W3CDTF">2014-08-19T18:37:00Z</dcterms:created>
  <dcterms:modified xsi:type="dcterms:W3CDTF">2014-08-19T18:37:00Z</dcterms:modified>
</cp:coreProperties>
</file>